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2E" w:rsidRDefault="006E4EDF" w:rsidP="000F3D59">
      <w:pPr>
        <w:jc w:val="center"/>
      </w:pPr>
      <w:r>
        <w:t xml:space="preserve">PHIL 413 (Spring 2010): </w:t>
      </w:r>
      <w:r w:rsidR="00016D2E">
        <w:t>Reading Assignments for Modern Philosophy Essays</w:t>
      </w:r>
    </w:p>
    <w:p w:rsidR="00016D2E" w:rsidRDefault="00016D2E"/>
    <w:p w:rsidR="00016D2E" w:rsidRDefault="0018776F">
      <w:r>
        <w:t xml:space="preserve">Identify the central points and arguments of the reading. In your essay, you must refer to secondary sources (commentaries, etc.) that help explain the text you are describing. </w:t>
      </w:r>
      <w:r w:rsidR="00016D2E">
        <w:t xml:space="preserve">Page numbers refer </w:t>
      </w:r>
      <w:r>
        <w:t xml:space="preserve">below </w:t>
      </w:r>
      <w:r w:rsidR="00016D2E">
        <w:t xml:space="preserve">to </w:t>
      </w:r>
      <w:r w:rsidR="00016D2E">
        <w:rPr>
          <w:i/>
        </w:rPr>
        <w:t>Readings in Modern Philosophy</w:t>
      </w:r>
      <w:r w:rsidR="00016D2E">
        <w:t xml:space="preserve">, ed. </w:t>
      </w:r>
      <w:proofErr w:type="spellStart"/>
      <w:r w:rsidR="00016D2E">
        <w:t>Ariew</w:t>
      </w:r>
      <w:proofErr w:type="spellEnd"/>
      <w:r w:rsidR="00016D2E">
        <w:t xml:space="preserve"> and Watkins, vols. I &amp; II</w:t>
      </w:r>
    </w:p>
    <w:p w:rsidR="003D3CE3" w:rsidRDefault="003D3CE3"/>
    <w:tbl>
      <w:tblPr>
        <w:tblStyle w:val="TableGrid"/>
        <w:tblW w:w="10368" w:type="dxa"/>
        <w:tblLook w:val="04A0"/>
      </w:tblPr>
      <w:tblGrid>
        <w:gridCol w:w="1188"/>
        <w:gridCol w:w="9180"/>
      </w:tblGrid>
      <w:tr w:rsidR="003D3CE3" w:rsidTr="00440C02">
        <w:trPr>
          <w:trHeight w:val="288"/>
        </w:trPr>
        <w:tc>
          <w:tcPr>
            <w:tcW w:w="1188" w:type="dxa"/>
          </w:tcPr>
          <w:p w:rsidR="003D3CE3" w:rsidRDefault="003D3CE3"/>
        </w:tc>
        <w:tc>
          <w:tcPr>
            <w:tcW w:w="9180" w:type="dxa"/>
          </w:tcPr>
          <w:p w:rsidR="00440C02" w:rsidRPr="00440C02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 w:rsidRPr="00440C02">
              <w:t xml:space="preserve">Descartes, </w:t>
            </w:r>
            <w:r w:rsidRPr="00440C02">
              <w:rPr>
                <w:i/>
              </w:rPr>
              <w:t>Discourse on Method</w:t>
            </w:r>
            <w:r w:rsidRPr="00440C02">
              <w:t>, 12-21: on rules for correct reasoning; do animals think?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0F3D59">
            <w:proofErr w:type="spellStart"/>
            <w:r>
              <w:t>Laryssa</w:t>
            </w:r>
            <w:proofErr w:type="spellEnd"/>
          </w:p>
        </w:tc>
        <w:tc>
          <w:tcPr>
            <w:tcW w:w="9180" w:type="dxa"/>
          </w:tcPr>
          <w:p w:rsidR="003D3CE3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Descartes, </w:t>
            </w:r>
            <w:r w:rsidRPr="000F3D59">
              <w:rPr>
                <w:i/>
              </w:rPr>
              <w:t>Replies II</w:t>
            </w:r>
            <w:r>
              <w:t>, 56-62: analysis/synthesis; mathematical presentation of philosophy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754879">
            <w:r>
              <w:t>Candace</w:t>
            </w:r>
          </w:p>
        </w:tc>
        <w:tc>
          <w:tcPr>
            <w:tcW w:w="9180" w:type="dxa"/>
          </w:tcPr>
          <w:p w:rsidR="003D3CE3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Descartes, </w:t>
            </w:r>
            <w:r w:rsidRPr="000F3D59">
              <w:rPr>
                <w:i/>
              </w:rPr>
              <w:t>Replies IV</w:t>
            </w:r>
            <w:r>
              <w:t xml:space="preserve"> (to </w:t>
            </w:r>
            <w:proofErr w:type="spellStart"/>
            <w:r>
              <w:t>Arnauld</w:t>
            </w:r>
            <w:proofErr w:type="spellEnd"/>
            <w:r>
              <w:t>), 70-80: ideas; the argument for God’s existence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9815CB">
            <w:r>
              <w:t>Kathleen</w:t>
            </w:r>
          </w:p>
        </w:tc>
        <w:tc>
          <w:tcPr>
            <w:tcW w:w="9180" w:type="dxa"/>
          </w:tcPr>
          <w:p w:rsidR="003D3CE3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Descartes, </w:t>
            </w:r>
            <w:r w:rsidRPr="000F3D59">
              <w:rPr>
                <w:i/>
              </w:rPr>
              <w:t>Principles of Philosophy</w:t>
            </w:r>
            <w:r>
              <w:t xml:space="preserve"> (I.1-50), 81-90: perception, freedom, error</w:t>
            </w:r>
          </w:p>
        </w:tc>
      </w:tr>
      <w:tr w:rsidR="00B44449" w:rsidTr="00440C02">
        <w:trPr>
          <w:trHeight w:val="288"/>
        </w:trPr>
        <w:tc>
          <w:tcPr>
            <w:tcW w:w="1188" w:type="dxa"/>
          </w:tcPr>
          <w:p w:rsidR="00B44449" w:rsidRDefault="00B44449"/>
        </w:tc>
        <w:tc>
          <w:tcPr>
            <w:tcW w:w="9180" w:type="dxa"/>
          </w:tcPr>
          <w:p w:rsidR="00B44449" w:rsidRDefault="00B44449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Descartes, </w:t>
            </w:r>
            <w:r w:rsidRPr="000F3D59">
              <w:rPr>
                <w:i/>
              </w:rPr>
              <w:t>Principles of Philosophy</w:t>
            </w:r>
            <w:r>
              <w:t xml:space="preserve"> (I.51-76), 90-97: substances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3D3CE3"/>
        </w:tc>
        <w:tc>
          <w:tcPr>
            <w:tcW w:w="9180" w:type="dxa"/>
          </w:tcPr>
          <w:p w:rsidR="003D3CE3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Descartes, </w:t>
            </w:r>
            <w:r w:rsidRPr="000F3D59">
              <w:rPr>
                <w:i/>
              </w:rPr>
              <w:t>Principles of Philosophy</w:t>
            </w:r>
            <w:r>
              <w:t xml:space="preserve"> II-IV, 97-109: physics, psychology, knowledge of world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D83E4C">
            <w:r>
              <w:t>Ryan S.</w:t>
            </w:r>
          </w:p>
        </w:tc>
        <w:tc>
          <w:tcPr>
            <w:tcW w:w="9180" w:type="dxa"/>
          </w:tcPr>
          <w:p w:rsidR="003D3CE3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>Spinoza on Descartes, 110-115: clarity and distinctness, mind and body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C063B6">
            <w:proofErr w:type="spellStart"/>
            <w:r>
              <w:t>Katrisha</w:t>
            </w:r>
            <w:proofErr w:type="spellEnd"/>
          </w:p>
        </w:tc>
        <w:tc>
          <w:tcPr>
            <w:tcW w:w="9180" w:type="dxa"/>
          </w:tcPr>
          <w:p w:rsidR="003D3CE3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>Leibniz on Descartes, 116-22: cogito and God, eternal truths, imperishable substances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A20648">
            <w:r>
              <w:t>Doug</w:t>
            </w:r>
          </w:p>
        </w:tc>
        <w:tc>
          <w:tcPr>
            <w:tcW w:w="9180" w:type="dxa"/>
          </w:tcPr>
          <w:p w:rsidR="003D3CE3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>Pascal, 123-25: infinity, the wager, and belief in God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0F3D59">
            <w:r>
              <w:t>Carter</w:t>
            </w:r>
          </w:p>
        </w:tc>
        <w:tc>
          <w:tcPr>
            <w:tcW w:w="9180" w:type="dxa"/>
          </w:tcPr>
          <w:p w:rsidR="003D3CE3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>Spinoza, Letters, 151-57: God, the infinite, time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447F88">
            <w:proofErr w:type="spellStart"/>
            <w:r>
              <w:t>Carly</w:t>
            </w:r>
            <w:proofErr w:type="spellEnd"/>
          </w:p>
        </w:tc>
        <w:tc>
          <w:tcPr>
            <w:tcW w:w="9180" w:type="dxa"/>
          </w:tcPr>
          <w:p w:rsidR="003D3CE3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Malebranche, </w:t>
            </w:r>
            <w:r w:rsidRPr="00C604EA">
              <w:rPr>
                <w:i/>
              </w:rPr>
              <w:t>Search after Truth</w:t>
            </w:r>
            <w:r>
              <w:t>, 213-25: we know all things in God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0F3D59">
            <w:r>
              <w:t>Carolyn</w:t>
            </w:r>
          </w:p>
        </w:tc>
        <w:tc>
          <w:tcPr>
            <w:tcW w:w="9180" w:type="dxa"/>
          </w:tcPr>
          <w:p w:rsidR="003D3CE3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Malebranche, </w:t>
            </w:r>
            <w:r w:rsidRPr="00C604EA">
              <w:rPr>
                <w:i/>
              </w:rPr>
              <w:t>Search after Truth</w:t>
            </w:r>
            <w:r>
              <w:t>, 225-33: God is the only true cause</w:t>
            </w:r>
          </w:p>
        </w:tc>
      </w:tr>
      <w:tr w:rsidR="000F3D59" w:rsidTr="00440C02">
        <w:trPr>
          <w:trHeight w:val="288"/>
        </w:trPr>
        <w:tc>
          <w:tcPr>
            <w:tcW w:w="1188" w:type="dxa"/>
          </w:tcPr>
          <w:p w:rsidR="000F3D59" w:rsidRDefault="003E75D6">
            <w:r>
              <w:t>Joseph</w:t>
            </w:r>
          </w:p>
        </w:tc>
        <w:tc>
          <w:tcPr>
            <w:tcW w:w="9180" w:type="dxa"/>
          </w:tcPr>
          <w:p w:rsidR="000F3D59" w:rsidRDefault="000F3D59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Leibniz, On and to </w:t>
            </w:r>
            <w:proofErr w:type="spellStart"/>
            <w:r>
              <w:t>Arnauld</w:t>
            </w:r>
            <w:proofErr w:type="spellEnd"/>
            <w:r>
              <w:t>, 258-67: substances contain all of what is predicated of them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F85F38" w:rsidP="00D83E4C">
            <w:r>
              <w:t>Bobb</w:t>
            </w:r>
            <w:r w:rsidR="00D83E4C">
              <w:t>y</w:t>
            </w:r>
          </w:p>
        </w:tc>
        <w:tc>
          <w:tcPr>
            <w:tcW w:w="9180" w:type="dxa"/>
          </w:tcPr>
          <w:p w:rsidR="003D3CE3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Leibniz, Letters to </w:t>
            </w:r>
            <w:proofErr w:type="spellStart"/>
            <w:r>
              <w:t>Arnauld</w:t>
            </w:r>
            <w:proofErr w:type="spellEnd"/>
            <w:r>
              <w:t>, 267-74: the true causes of bodily movement; human freedom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3D3CE3"/>
        </w:tc>
        <w:tc>
          <w:tcPr>
            <w:tcW w:w="9180" w:type="dxa"/>
          </w:tcPr>
          <w:p w:rsidR="003D3CE3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Leibniz, </w:t>
            </w:r>
            <w:r w:rsidRPr="00C604EA">
              <w:rPr>
                <w:i/>
              </w:rPr>
              <w:t>Primary Truths</w:t>
            </w:r>
            <w:r>
              <w:t xml:space="preserve"> and </w:t>
            </w:r>
            <w:r w:rsidRPr="00C604EA">
              <w:rPr>
                <w:i/>
              </w:rPr>
              <w:t>A New System</w:t>
            </w:r>
            <w:r>
              <w:t>, 275-84: principles of thought; body and mind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9A68A9">
            <w:r>
              <w:t>Ryan N.</w:t>
            </w:r>
          </w:p>
        </w:tc>
        <w:tc>
          <w:tcPr>
            <w:tcW w:w="9180" w:type="dxa"/>
          </w:tcPr>
          <w:p w:rsidR="003D3CE3" w:rsidRDefault="00440C02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Newton, </w:t>
            </w:r>
            <w:r w:rsidRPr="00C604EA">
              <w:rPr>
                <w:i/>
              </w:rPr>
              <w:t>Natural Philosophy</w:t>
            </w:r>
            <w:r>
              <w:t xml:space="preserve"> and </w:t>
            </w:r>
            <w:r w:rsidRPr="00C604EA">
              <w:rPr>
                <w:i/>
              </w:rPr>
              <w:t>Optics</w:t>
            </w:r>
            <w:r>
              <w:t>, 294-303: absolute space, God, and motion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797B15">
            <w:r>
              <w:t>Zach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>Leibniz, Letters to Clarke, 304-13: response to Newton on space and God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3D3CE3"/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Boyle, </w:t>
            </w:r>
            <w:r w:rsidRPr="00C604EA">
              <w:rPr>
                <w:i/>
              </w:rPr>
              <w:t>Corpuscular or Mechanical Philosophy</w:t>
            </w:r>
            <w:r>
              <w:t>, 4-10: reality is comprised of material atoms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3E75D6">
            <w:r>
              <w:t>David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Locke, </w:t>
            </w:r>
            <w:r w:rsidRPr="00C604EA">
              <w:rPr>
                <w:i/>
              </w:rPr>
              <w:t>Essay concerning Human Understanding</w:t>
            </w:r>
            <w:r>
              <w:t>, 11-17: there are no innate ideas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D83E4C">
            <w:r>
              <w:t>Will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Locke, </w:t>
            </w:r>
            <w:r w:rsidRPr="00C604EA">
              <w:rPr>
                <w:i/>
              </w:rPr>
              <w:t>Essay</w:t>
            </w:r>
            <w:r>
              <w:t>, 34-42: complex ideas, substances, modes; space, bodies, duration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0F3D59">
            <w:r>
              <w:t>Courtney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Locke, </w:t>
            </w:r>
            <w:r w:rsidRPr="00C604EA">
              <w:rPr>
                <w:i/>
              </w:rPr>
              <w:t>Essay</w:t>
            </w:r>
            <w:r>
              <w:t>, 61-70: identity, the self, consciousness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447F88">
            <w:r>
              <w:t>Fredrick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Locke, </w:t>
            </w:r>
            <w:r w:rsidRPr="00C604EA">
              <w:rPr>
                <w:i/>
              </w:rPr>
              <w:t>Essay</w:t>
            </w:r>
            <w:r>
              <w:t>, 85-98: the extent and reality of knowledge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7B5B37">
            <w:r>
              <w:t>Susan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Locke, </w:t>
            </w:r>
            <w:r w:rsidRPr="00C604EA">
              <w:rPr>
                <w:i/>
              </w:rPr>
              <w:t>Essay</w:t>
            </w:r>
            <w:r>
              <w:t>, 98-114: knowledge of God, material things, other minds; probability, assent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D83E4C">
            <w:r>
              <w:t>Caleb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Leibniz, </w:t>
            </w:r>
            <w:r w:rsidRPr="00C604EA">
              <w:rPr>
                <w:i/>
              </w:rPr>
              <w:t>New Essays</w:t>
            </w:r>
            <w:r>
              <w:t xml:space="preserve">, 115-26: Locke is wrong: </w:t>
            </w:r>
            <w:r w:rsidRPr="000F3D59">
              <w:t>knowledge</w:t>
            </w:r>
            <w:r>
              <w:t xml:space="preserve"> is not based on experience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3D3CE3"/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Berkeley, </w:t>
            </w:r>
            <w:r w:rsidRPr="00C604EA">
              <w:rPr>
                <w:i/>
              </w:rPr>
              <w:t>Principles of Human Knowledge</w:t>
            </w:r>
            <w:r>
              <w:t>, Introduction, 127-38: there are no abstract ideas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0F3D59">
            <w:r>
              <w:t>Aaron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Berkeley, </w:t>
            </w:r>
            <w:r w:rsidRPr="00C604EA">
              <w:rPr>
                <w:i/>
              </w:rPr>
              <w:t>Principles</w:t>
            </w:r>
            <w:r>
              <w:t xml:space="preserve"> (I.1-33), 138-45: only minds and ideas exist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D83E4C">
            <w:r>
              <w:t>Nathan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Berkeley, </w:t>
            </w:r>
            <w:r w:rsidRPr="00C604EA">
              <w:rPr>
                <w:i/>
              </w:rPr>
              <w:t>Principles</w:t>
            </w:r>
            <w:r>
              <w:t xml:space="preserve"> (I.34-84), 145-57: idealism, objections and replies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0F3D59">
            <w:r>
              <w:t>J. P.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Berkeley, </w:t>
            </w:r>
            <w:r w:rsidRPr="00C604EA">
              <w:rPr>
                <w:i/>
              </w:rPr>
              <w:t xml:space="preserve">Principles </w:t>
            </w:r>
            <w:r>
              <w:t>(I.85-156), 157-74: minds, science, mathematics, and God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3E75D6">
            <w:r>
              <w:t>Ryan W.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>Berkeley</w:t>
            </w:r>
            <w:r w:rsidRPr="00C604EA">
              <w:rPr>
                <w:i/>
              </w:rPr>
              <w:t>, On Motion</w:t>
            </w:r>
            <w:r>
              <w:t xml:space="preserve">, 224-28: gravity, force; Bayle, </w:t>
            </w:r>
            <w:r w:rsidRPr="00C604EA">
              <w:rPr>
                <w:i/>
              </w:rPr>
              <w:t>Dictionary</w:t>
            </w:r>
            <w:r>
              <w:t>, 232-36: God as cause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0F3D59">
            <w:r>
              <w:t>Megan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Hume, </w:t>
            </w:r>
            <w:r w:rsidRPr="00C604EA">
              <w:rPr>
                <w:i/>
              </w:rPr>
              <w:t>Treatise on Human Nature</w:t>
            </w:r>
            <w:r>
              <w:t>, 237-51: origin/connections of ideas; abstraction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0F3D59">
            <w:r>
              <w:t>Kevin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Hume, </w:t>
            </w:r>
            <w:r w:rsidRPr="00C604EA">
              <w:rPr>
                <w:rFonts w:ascii="Times New Roman Italic" w:hAnsi="Times New Roman Italic"/>
                <w:i/>
              </w:rPr>
              <w:t>Treatise</w:t>
            </w:r>
            <w:r w:rsidR="000F3D59" w:rsidRPr="00C604EA">
              <w:rPr>
                <w:rFonts w:ascii="Times New Roman Italic" w:hAnsi="Times New Roman Italic"/>
                <w:i/>
              </w:rPr>
              <w:t xml:space="preserve"> on Human Nature</w:t>
            </w:r>
            <w:r w:rsidR="000F3D59">
              <w:t>,</w:t>
            </w:r>
            <w:r>
              <w:t xml:space="preserve"> 251-63: probability, cause and effect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0F3D59">
            <w:proofErr w:type="spellStart"/>
            <w:r>
              <w:t>Beka</w:t>
            </w:r>
            <w:proofErr w:type="spellEnd"/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Hume, </w:t>
            </w:r>
            <w:r w:rsidR="00C604EA" w:rsidRPr="00C604EA">
              <w:rPr>
                <w:rFonts w:ascii="Times New Roman Italic" w:hAnsi="Times New Roman Italic"/>
                <w:i/>
              </w:rPr>
              <w:t>Treatise on Human Nature</w:t>
            </w:r>
            <w:r>
              <w:t>, 263-79: belief, habit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3D3CE3"/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Hume, </w:t>
            </w:r>
            <w:r w:rsidR="00C604EA" w:rsidRPr="00C604EA">
              <w:rPr>
                <w:rFonts w:ascii="Times New Roman Italic" w:hAnsi="Times New Roman Italic"/>
                <w:i/>
              </w:rPr>
              <w:t>Treatise on Human Nature</w:t>
            </w:r>
            <w:r>
              <w:t>, 279-89: necessary connection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447F88">
            <w:r>
              <w:t>Elisa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Hume, </w:t>
            </w:r>
            <w:r w:rsidR="00C604EA" w:rsidRPr="00C604EA">
              <w:rPr>
                <w:rFonts w:ascii="Times New Roman Italic" w:hAnsi="Times New Roman Italic"/>
                <w:i/>
              </w:rPr>
              <w:t>Treatise on Human Nature</w:t>
            </w:r>
            <w:r>
              <w:t>, 289-306: skepticism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3D3CE3"/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Hume, </w:t>
            </w:r>
            <w:r w:rsidR="00C604EA" w:rsidRPr="00C604EA">
              <w:rPr>
                <w:rFonts w:ascii="Times New Roman Italic" w:hAnsi="Times New Roman Italic"/>
                <w:i/>
              </w:rPr>
              <w:t>Treatise on Human Nature</w:t>
            </w:r>
            <w:r>
              <w:t>, 306-12: ancient vs. modern philosophy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0F3D59">
            <w:r>
              <w:t>Brittany</w:t>
            </w:r>
          </w:p>
        </w:tc>
        <w:tc>
          <w:tcPr>
            <w:tcW w:w="9180" w:type="dxa"/>
          </w:tcPr>
          <w:p w:rsidR="003D3CE3" w:rsidRDefault="00966C56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Hume, </w:t>
            </w:r>
            <w:r w:rsidR="00C604EA" w:rsidRPr="00C604EA">
              <w:rPr>
                <w:rFonts w:ascii="Times New Roman Italic" w:hAnsi="Times New Roman Italic"/>
                <w:i/>
              </w:rPr>
              <w:t>Treatise on Human Nature</w:t>
            </w:r>
            <w:r>
              <w:t>, 312-20: immateriality of the soul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3D3CE3"/>
        </w:tc>
        <w:tc>
          <w:tcPr>
            <w:tcW w:w="9180" w:type="dxa"/>
          </w:tcPr>
          <w:p w:rsidR="003D3CE3" w:rsidRDefault="00B44449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Hume, </w:t>
            </w:r>
            <w:r w:rsidR="00C604EA" w:rsidRPr="00C604EA">
              <w:rPr>
                <w:rFonts w:ascii="Times New Roman Italic" w:hAnsi="Times New Roman Italic"/>
                <w:i/>
              </w:rPr>
              <w:t>Treatise on Human Nature</w:t>
            </w:r>
            <w:r>
              <w:t>, 320-27: personal identity (and the Appendix problems)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3070DC">
            <w:r>
              <w:t>Cody</w:t>
            </w:r>
          </w:p>
        </w:tc>
        <w:tc>
          <w:tcPr>
            <w:tcW w:w="9180" w:type="dxa"/>
          </w:tcPr>
          <w:p w:rsidR="003D3CE3" w:rsidRDefault="00B44449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Hume, </w:t>
            </w:r>
            <w:r w:rsidRPr="00C604EA">
              <w:rPr>
                <w:i/>
              </w:rPr>
              <w:t>Inquiry concerning Human Understanding</w:t>
            </w:r>
            <w:r>
              <w:t>, 369-80: animal reasoning, miracles</w:t>
            </w:r>
          </w:p>
        </w:tc>
      </w:tr>
      <w:tr w:rsidR="003D3CE3" w:rsidTr="00440C02">
        <w:trPr>
          <w:trHeight w:val="288"/>
        </w:trPr>
        <w:tc>
          <w:tcPr>
            <w:tcW w:w="1188" w:type="dxa"/>
          </w:tcPr>
          <w:p w:rsidR="003D3CE3" w:rsidRDefault="00447F88">
            <w:r>
              <w:t>Jordan</w:t>
            </w:r>
          </w:p>
        </w:tc>
        <w:tc>
          <w:tcPr>
            <w:tcW w:w="9180" w:type="dxa"/>
          </w:tcPr>
          <w:p w:rsidR="003D3CE3" w:rsidRDefault="00B44449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Hume, </w:t>
            </w:r>
            <w:r w:rsidRPr="00C604EA">
              <w:rPr>
                <w:i/>
              </w:rPr>
              <w:t>Dialogues concerning Natural Religion</w:t>
            </w:r>
            <w:r>
              <w:t xml:space="preserve">, 395-433: </w:t>
            </w:r>
            <w:r w:rsidR="000F3D59">
              <w:t xml:space="preserve">the </w:t>
            </w:r>
            <w:r>
              <w:t>irrationality of religion: hope</w:t>
            </w:r>
            <w:r w:rsidR="000F3D59">
              <w:t>/</w:t>
            </w:r>
            <w:r>
              <w:t>fear</w:t>
            </w:r>
          </w:p>
        </w:tc>
      </w:tr>
      <w:tr w:rsidR="00440C02" w:rsidTr="00440C02">
        <w:trPr>
          <w:trHeight w:val="288"/>
        </w:trPr>
        <w:tc>
          <w:tcPr>
            <w:tcW w:w="1188" w:type="dxa"/>
          </w:tcPr>
          <w:p w:rsidR="00440C02" w:rsidRDefault="00440C02"/>
        </w:tc>
        <w:tc>
          <w:tcPr>
            <w:tcW w:w="9180" w:type="dxa"/>
          </w:tcPr>
          <w:p w:rsidR="00440C02" w:rsidRDefault="00B44449" w:rsidP="000F3D59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 xml:space="preserve">Reid, </w:t>
            </w:r>
            <w:r w:rsidRPr="00C604EA">
              <w:rPr>
                <w:i/>
              </w:rPr>
              <w:t>Inquiry into the Human Mind</w:t>
            </w:r>
            <w:r>
              <w:t>, 434-46: we directly perceive external objects, not ideas</w:t>
            </w:r>
          </w:p>
        </w:tc>
      </w:tr>
    </w:tbl>
    <w:p w:rsidR="006E4EDF" w:rsidRPr="00016D2E" w:rsidRDefault="006E4EDF" w:rsidP="00B44449">
      <w:pPr>
        <w:tabs>
          <w:tab w:val="left" w:pos="810"/>
        </w:tabs>
        <w:ind w:left="-270"/>
      </w:pPr>
    </w:p>
    <w:sectPr w:rsidR="006E4EDF" w:rsidRPr="00016D2E" w:rsidSect="00B44449">
      <w:pgSz w:w="12240" w:h="15840"/>
      <w:pgMar w:top="900" w:right="144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6CF"/>
    <w:multiLevelType w:val="hybridMultilevel"/>
    <w:tmpl w:val="41468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F20604"/>
    <w:multiLevelType w:val="hybridMultilevel"/>
    <w:tmpl w:val="065E909C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6B5F589F"/>
    <w:multiLevelType w:val="hybridMultilevel"/>
    <w:tmpl w:val="18F2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6D2E"/>
    <w:rsid w:val="00016A81"/>
    <w:rsid w:val="00016D2E"/>
    <w:rsid w:val="000D1931"/>
    <w:rsid w:val="000F3D59"/>
    <w:rsid w:val="001822BE"/>
    <w:rsid w:val="0018776F"/>
    <w:rsid w:val="001B59DF"/>
    <w:rsid w:val="00283E19"/>
    <w:rsid w:val="002E7586"/>
    <w:rsid w:val="002F6DB0"/>
    <w:rsid w:val="003070DC"/>
    <w:rsid w:val="003A4D08"/>
    <w:rsid w:val="003D3CE3"/>
    <w:rsid w:val="003E75D6"/>
    <w:rsid w:val="00440C02"/>
    <w:rsid w:val="00447F88"/>
    <w:rsid w:val="00536AD8"/>
    <w:rsid w:val="005A5100"/>
    <w:rsid w:val="006305F2"/>
    <w:rsid w:val="006E137A"/>
    <w:rsid w:val="006E4EDF"/>
    <w:rsid w:val="00754879"/>
    <w:rsid w:val="00766971"/>
    <w:rsid w:val="00797B15"/>
    <w:rsid w:val="007B5B37"/>
    <w:rsid w:val="00966C56"/>
    <w:rsid w:val="009815CB"/>
    <w:rsid w:val="009A68A9"/>
    <w:rsid w:val="00A20648"/>
    <w:rsid w:val="00A73B5D"/>
    <w:rsid w:val="00B305E8"/>
    <w:rsid w:val="00B44449"/>
    <w:rsid w:val="00BE1F65"/>
    <w:rsid w:val="00C063B6"/>
    <w:rsid w:val="00C32CC3"/>
    <w:rsid w:val="00C604EA"/>
    <w:rsid w:val="00CC3A0E"/>
    <w:rsid w:val="00D34802"/>
    <w:rsid w:val="00D572AA"/>
    <w:rsid w:val="00D83E4C"/>
    <w:rsid w:val="00DB783C"/>
    <w:rsid w:val="00E1418E"/>
    <w:rsid w:val="00EB6C12"/>
    <w:rsid w:val="00F53B1E"/>
    <w:rsid w:val="00F85F38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2E"/>
    <w:pPr>
      <w:ind w:left="720"/>
      <w:contextualSpacing/>
    </w:pPr>
  </w:style>
  <w:style w:type="table" w:styleId="TableGrid">
    <w:name w:val="Table Grid"/>
    <w:basedOn w:val="TableNormal"/>
    <w:uiPriority w:val="59"/>
    <w:rsid w:val="003D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Daniel</dc:creator>
  <cp:lastModifiedBy>Steve Daniel</cp:lastModifiedBy>
  <cp:revision>14</cp:revision>
  <cp:lastPrinted>2010-01-28T04:33:00Z</cp:lastPrinted>
  <dcterms:created xsi:type="dcterms:W3CDTF">2010-01-29T22:35:00Z</dcterms:created>
  <dcterms:modified xsi:type="dcterms:W3CDTF">2010-03-09T13:19:00Z</dcterms:modified>
</cp:coreProperties>
</file>